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Unitank 污水厂夜间无人值守运行方案（修订版）</w:t>
      </w:r>
    </w:p>
    <w:p>
      <w:pPr>
        <w:pStyle w:val="Heading2"/>
      </w:pPr>
      <w:r>
        <w:t xml:space="preserve">一、方案核心定义与目标</w:t>
      </w:r>
    </w:p>
    <w:p>
      <w:pPr>
        <w:pStyle w:val="Heading3"/>
      </w:pPr>
      <w:r>
        <w:t xml:space="preserve">（一）“无人值守” 核心定义</w:t>
      </w:r>
    </w:p>
    <w:p>
      <w:pPr>
        <w:pStyle w:val="text"/>
      </w:pPr>
      <w:r>
        <w:t xml:space="preserve">本方案中的 “夜间无人值守” 特指</w:t>
      </w:r>
      <w:r>
        <w:rPr>
          <w:b/>
          <w:bCs/>
        </w:rPr>
        <w:t xml:space="preserve">每日 22:00 - 次日 6:00 时段内，污水厂厂区内无固定值守人员</w:t>
      </w:r>
      <w:r>
        <w:t xml:space="preserve">，所有运行监测、设备控制、异常预警均通过智能系统自动完成，仅在系统触发紧急报警时，由远程运维团队通过 “远程操作 + 按需现场支援” 的方式处理，彻底实现厂区夜间 “无人化”，同时保障运行稳定性与安全性。</w:t>
      </w:r>
    </w:p>
    <w:p>
      <w:pPr>
        <w:pStyle w:val="Heading3"/>
      </w:pPr>
      <w:r>
        <w:t xml:space="preserve">（二）方案目标</w:t>
      </w:r>
    </w:p>
    <w:p>
      <w:pPr>
        <w:pStyle w:val="text"/>
        <w:numPr>
          <w:ilvl w:val="0"/>
          <w:numId w:val="2"/>
        </w:numPr>
      </w:pPr>
      <w:r>
        <w:t xml:space="preserve">核心目标：夜间厂区零现场人员，通过智能系统实现污水处理全流程自动运行，出水水质达标率 100%，设备故障自动预警率 100%，应急响应及时率 100%。</w:t>
      </w:r>
    </w:p>
    <w:p>
      <w:pPr>
        <w:pStyle w:val="text"/>
        <w:numPr>
          <w:ilvl w:val="0"/>
          <w:numId w:val="2"/>
        </w:numPr>
      </w:pPr>
      <w:r>
        <w:t xml:space="preserve">辅助目标：相比传统夜间值守模式，降低人工成本 80% 以上，减少人为操作失误，提升工艺运行精准度与设备使用寿命。</w:t>
      </w:r>
    </w:p>
    <w:p>
      <w:pPr>
        <w:pStyle w:val="Heading2"/>
      </w:pPr>
      <w:r>
        <w:t xml:space="preserve">二、夜间无人值守核心风险与应对逻辑</w:t>
      </w:r>
    </w:p>
    <w:p>
      <w:pPr>
        <w:pStyle w:val="text"/>
      </w:pPr>
      <w:r>
        <w:t xml:space="preserve">针对 “厂区无人” 场景下的特殊风险，需通过 “系统自动监测 - 智能预判 - 分级响应” 的逻辑化解，具体风险与应对方向如下：</w:t>
      </w:r>
    </w:p>
    <w:p>
      <w:pPr>
        <w:pStyle w:val="text"/>
      </w:pP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风险类型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具体表现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核心应对逻辑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设备突发故障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进水泵卡堵、曝气风机停机、阀门无法自动切换等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设备状态传感器实时监测→系统自动触发备用设备切换→远程运维团队同步接收报警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水质剧烈波动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进水 COD / 氨氮骤升、pH 值超出工艺范围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水质传感器秒级采集数据→系统自动调整工艺参数（如增加曝气时长、投药剂量）→异常数据持续超标时触发报警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安全隐患扩散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硫化氢泄漏、配电室短路、水池溢水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安全传感器实时监测→系统自动启动应急措施（如开启排风、切断电源、启动排水泵）→同步推送报警至远程团队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外部安全入侵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非法人员翻越围墙、盗窃关键设备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红外监控 + 移动侦测→系统自动发出声光警报 + 推送现场视频→联动安保系统（如园区派出所）</w:t>
            </w:r>
          </w:p>
        </w:tc>
      </w:tr>
    </w:tbl>
    <w:p>
      <w:pPr>
        <w:pStyle w:val="Heading2"/>
      </w:pPr>
      <w:r>
        <w:t xml:space="preserve">三、智能系统建设：无人值守的核心支撑</w:t>
      </w:r>
    </w:p>
    <w:p>
      <w:pPr>
        <w:pStyle w:val="text"/>
      </w:pPr>
      <w:r>
        <w:t xml:space="preserve">需构建 “监测 - 控制 - 预警 - 联动” 一体化智能系统，确保无人员现场时，系统可独立完成运行管理，具体建设内容如下：</w:t>
      </w:r>
    </w:p>
    <w:p>
      <w:pPr>
        <w:pStyle w:val="Heading3"/>
      </w:pPr>
      <w:r>
        <w:t xml:space="preserve">（一）全流程工艺参数自动监测系统</w:t>
      </w:r>
    </w:p>
    <w:p>
      <w:pPr>
        <w:pStyle w:val="text"/>
        <w:numPr>
          <w:ilvl w:val="0"/>
          <w:numId w:val="3"/>
        </w:numPr>
      </w:pPr>
      <w:r>
        <w:rPr>
          <w:b/>
          <w:bCs/>
        </w:rPr>
        <w:t xml:space="preserve">监测点位与指标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进水端：在进水管网末端安装</w:t>
      </w:r>
      <w:r>
        <w:rPr>
          <w:b/>
          <w:bCs/>
        </w:rPr>
        <w:t xml:space="preserve">流量传感器、COD 在线监测仪、氨氮在线监测仪、pH 传感器</w:t>
      </w:r>
      <w:r>
        <w:t xml:space="preserve">，实时捕捉进水水质波动；</w:t>
      </w:r>
    </w:p>
    <w:p>
      <w:pPr>
        <w:pStyle w:val="text"/>
        <w:numPr>
          <w:ilvl w:val="1"/>
          <w:numId w:val="4"/>
        </w:numPr>
      </w:pPr>
      <w:r>
        <w:t xml:space="preserve">Unitank 反应池：每池安装</w:t>
      </w:r>
      <w:r>
        <w:rPr>
          <w:b/>
          <w:bCs/>
        </w:rPr>
        <w:t xml:space="preserve">2 台溶解氧（DO）传感器（上下层）、污泥浓度（MLSS）传感器、液位传感器</w:t>
      </w:r>
      <w:r>
        <w:t xml:space="preserve">，精准掌握反应状态；</w:t>
      </w:r>
    </w:p>
    <w:p>
      <w:pPr>
        <w:pStyle w:val="text"/>
        <w:numPr>
          <w:ilvl w:val="1"/>
          <w:numId w:val="4"/>
        </w:numPr>
      </w:pPr>
      <w:r>
        <w:t xml:space="preserve">出水端：在总排口安装</w:t>
      </w:r>
      <w:r>
        <w:rPr>
          <w:b/>
          <w:bCs/>
        </w:rPr>
        <w:t xml:space="preserve">COD、氨氮、总氮、总磷在线监测仪</w:t>
      </w:r>
      <w:r>
        <w:t xml:space="preserve">，确保出水达标，同时安装</w:t>
      </w:r>
      <w:r>
        <w:rPr>
          <w:b/>
          <w:bCs/>
        </w:rPr>
        <w:t xml:space="preserve">浊度传感器</w:t>
      </w:r>
      <w:r>
        <w:t xml:space="preserve">辅助判断水质状态。</w:t>
      </w:r>
    </w:p>
    <w:p>
      <w:pPr>
        <w:pStyle w:val="text"/>
        <w:numPr>
          <w:ilvl w:val="0"/>
          <w:numId w:val="5"/>
        </w:numPr>
      </w:pPr>
      <w:r>
        <w:rPr>
          <w:b/>
          <w:bCs/>
        </w:rPr>
        <w:t xml:space="preserve">数据处理逻辑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传感器数据每 10 秒上传至厂区</w:t>
      </w:r>
      <w:r>
        <w:rPr>
          <w:b/>
          <w:bCs/>
        </w:rPr>
        <w:t xml:space="preserve">边缘计算网关</w:t>
      </w:r>
      <w:r>
        <w:t xml:space="preserve">，网关对数据进行 “异常值过滤 - 趋势分析”，若单指标超出预设阈值（如 DO＜2mg/L），或指标波动速率超出设定范围（如 COD 1 小时内上升＞200mg/L），立即触发系统预警。</w:t>
      </w:r>
    </w:p>
    <w:p>
      <w:pPr>
        <w:pStyle w:val="Heading3"/>
      </w:pPr>
      <w:r>
        <w:t xml:space="preserve">（二）关键设备全自动控制与故障自愈系统</w:t>
      </w:r>
    </w:p>
    <w:p>
      <w:pPr>
        <w:pStyle w:val="text"/>
        <w:numPr>
          <w:ilvl w:val="0"/>
          <w:numId w:val="6"/>
        </w:numPr>
      </w:pPr>
      <w:r>
        <w:rPr>
          <w:b/>
          <w:bCs/>
        </w:rPr>
        <w:t xml:space="preserve">设备控制模式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泵类设备（进水泵、回流泵、排水泵）：采用 “</w:t>
      </w:r>
      <w:r>
        <w:rPr>
          <w:b/>
          <w:bCs/>
        </w:rPr>
        <w:t xml:space="preserve">液位联动 + 备用自动切换</w:t>
      </w:r>
      <w:r>
        <w:t xml:space="preserve">” 模式，如进水泵根据调节池液位自动启停（液位＞80% 启动 2 台，＜30% 停 1 台），若运行泵电流超出额定值 10%，系统自动切断故障泵电源，启动备用泵，同时记录故障信息；</w:t>
      </w:r>
    </w:p>
    <w:p>
      <w:pPr>
        <w:pStyle w:val="text"/>
        <w:numPr>
          <w:ilvl w:val="1"/>
          <w:numId w:val="4"/>
        </w:numPr>
      </w:pPr>
      <w:r>
        <w:t xml:space="preserve">曝气系统：根据 Unitank 反应池 DO 值自动调节</w:t>
      </w:r>
      <w:r>
        <w:rPr>
          <w:b/>
          <w:bCs/>
        </w:rPr>
        <w:t xml:space="preserve">曝气风机频率</w:t>
      </w:r>
      <w:r>
        <w:t xml:space="preserve">（DO＜2mg/L 时提升频率，＞4mg/L 时降低频率），若风机振动值超出 5mm/s，系统自动切换至备用风机，同时关闭故障风机进气阀；</w:t>
      </w:r>
    </w:p>
    <w:p>
      <w:pPr>
        <w:pStyle w:val="text"/>
        <w:numPr>
          <w:ilvl w:val="1"/>
          <w:numId w:val="4"/>
        </w:numPr>
      </w:pPr>
      <w:r>
        <w:t xml:space="preserve">刮泥机：采用 “</w:t>
      </w:r>
      <w:r>
        <w:rPr>
          <w:b/>
          <w:bCs/>
        </w:rPr>
        <w:t xml:space="preserve">定时运行 + 负荷联动</w:t>
      </w:r>
      <w:r>
        <w:t xml:space="preserve">” 模式，每日凌晨 2:00 自动启动，运行中若扭矩传感器检测到负荷超出额定值 15%，自动停机 3 分钟后重试，重试 2 次仍故障则触发报警。</w:t>
      </w:r>
    </w:p>
    <w:p>
      <w:pPr>
        <w:pStyle w:val="text"/>
        <w:numPr>
          <w:ilvl w:val="0"/>
          <w:numId w:val="7"/>
        </w:numPr>
      </w:pPr>
      <w:r>
        <w:rPr>
          <w:b/>
          <w:bCs/>
        </w:rPr>
        <w:t xml:space="preserve">故障自愈优先级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一级自愈（设备切换）：核心工艺设备（如进水泵、曝气风机）故障时，优先启动备用设备，自愈时间≤30 秒；</w:t>
      </w:r>
    </w:p>
    <w:p>
      <w:pPr>
        <w:pStyle w:val="text"/>
        <w:numPr>
          <w:ilvl w:val="1"/>
          <w:numId w:val="4"/>
        </w:numPr>
      </w:pPr>
      <w:r>
        <w:t xml:space="preserve">二级自愈（参数调整）：非核心设备（如加药泵）故障时，系统自动调整关联参数（如延长其他加药点投加时间），维持工艺稳定，自愈时间≤5 分钟。</w:t>
      </w:r>
    </w:p>
    <w:p>
      <w:pPr>
        <w:pStyle w:val="Heading3"/>
      </w:pPr>
      <w:r>
        <w:t xml:space="preserve">（三）厂区安全与安防全自动预警系统</w:t>
      </w:r>
    </w:p>
    <w:p>
      <w:pPr>
        <w:pStyle w:val="text"/>
        <w:numPr>
          <w:ilvl w:val="0"/>
          <w:numId w:val="8"/>
        </w:numPr>
      </w:pPr>
      <w:r>
        <w:rPr>
          <w:b/>
          <w:bCs/>
        </w:rPr>
        <w:t xml:space="preserve">安全监测与应急联动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有毒气体监测：在格栅间、污泥脱水间安装</w:t>
      </w:r>
      <w:r>
        <w:rPr>
          <w:b/>
          <w:bCs/>
        </w:rPr>
        <w:t xml:space="preserve">硫化氢、氨气传感器</w:t>
      </w:r>
      <w:r>
        <w:t xml:space="preserve">，浓度超限时（硫化氢＞10ppm），系统自动开启排风风机，同时关闭区域进出风阀门，防止气体扩散；</w:t>
      </w:r>
    </w:p>
    <w:p>
      <w:pPr>
        <w:pStyle w:val="text"/>
        <w:numPr>
          <w:ilvl w:val="1"/>
          <w:numId w:val="4"/>
        </w:numPr>
      </w:pPr>
      <w:r>
        <w:t xml:space="preserve">电气安全监测：在配电室安装</w:t>
      </w:r>
      <w:r>
        <w:rPr>
          <w:b/>
          <w:bCs/>
        </w:rPr>
        <w:t xml:space="preserve">电流互感器、温度传感器、烟雾报警器</w:t>
      </w:r>
      <w:r>
        <w:t xml:space="preserve">，若检测到电流过载（超额定值 120%）或温度＞60℃，自动切断对应回路电源，烟雾报警时同步启动配电室喷淋系统；</w:t>
      </w:r>
    </w:p>
    <w:p>
      <w:pPr>
        <w:pStyle w:val="text"/>
        <w:numPr>
          <w:ilvl w:val="1"/>
          <w:numId w:val="4"/>
        </w:numPr>
      </w:pPr>
      <w:r>
        <w:t xml:space="preserve">水池安全防护：在调节池、沉淀池周边安装</w:t>
      </w:r>
      <w:r>
        <w:rPr>
          <w:b/>
          <w:bCs/>
        </w:rPr>
        <w:t xml:space="preserve">红外对射探测器 + 超声波液位传感器</w:t>
      </w:r>
      <w:r>
        <w:t xml:space="preserve">，液位超警戒值（如距池顶＜50cm）时，自动启动应急排水泵，探测器检测到人员靠近（非授权）时，触发声光警报。</w:t>
      </w:r>
    </w:p>
    <w:p>
      <w:pPr>
        <w:pStyle w:val="text"/>
        <w:numPr>
          <w:ilvl w:val="0"/>
          <w:numId w:val="9"/>
        </w:numPr>
      </w:pPr>
      <w:r>
        <w:rPr>
          <w:b/>
          <w:bCs/>
        </w:rPr>
        <w:t xml:space="preserve">安防监控联动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厂区周界：在围墙顶部安装</w:t>
      </w:r>
      <w:r>
        <w:rPr>
          <w:b/>
          <w:bCs/>
        </w:rPr>
        <w:t xml:space="preserve">红外光栅探测器</w:t>
      </w:r>
      <w:r>
        <w:t xml:space="preserve">，每 10 米 1 组，检测到入侵时，系统自动控制周界摄像头对准入侵点位，录制 1080P 视频（持续 5 分钟），同时将视频片段推送至远程运维团队手机 APP；</w:t>
      </w:r>
    </w:p>
    <w:p>
      <w:pPr>
        <w:pStyle w:val="text"/>
        <w:numPr>
          <w:ilvl w:val="1"/>
          <w:numId w:val="4"/>
        </w:numPr>
      </w:pPr>
      <w:r>
        <w:t xml:space="preserve">设备区域：在风机房、配电室等关键区域安装</w:t>
      </w:r>
      <w:r>
        <w:rPr>
          <w:b/>
          <w:bCs/>
        </w:rPr>
        <w:t xml:space="preserve">高清半球摄像头（带音频采集）</w:t>
      </w:r>
      <w:r>
        <w:t xml:space="preserve"> ，若检测到设备异响（如风机异常噪音）或非法开门（未授权门禁开启），立即触发报警。</w:t>
      </w:r>
    </w:p>
    <w:p>
      <w:pPr>
        <w:pStyle w:val="Heading3"/>
      </w:pPr>
      <w:r>
        <w:t xml:space="preserve">（四）远程运维中心建设</w:t>
      </w:r>
    </w:p>
    <w:p>
      <w:pPr>
        <w:pStyle w:val="text"/>
        <w:numPr>
          <w:ilvl w:val="0"/>
          <w:numId w:val="10"/>
        </w:numPr>
      </w:pPr>
      <w:r>
        <w:rPr>
          <w:b/>
          <w:bCs/>
        </w:rPr>
        <w:t xml:space="preserve">中心配置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硬件：部署 2 台</w:t>
      </w:r>
      <w:r>
        <w:rPr>
          <w:b/>
          <w:bCs/>
        </w:rPr>
        <w:t xml:space="preserve">冗余服务器</w:t>
      </w:r>
      <w:r>
        <w:t xml:space="preserve">（存储 1 年历史数据）、6 块 55 英寸拼接屏（实时显示工艺流程图、设备运行状态、视频监控画面）、2 套远程操作终端（用于紧急远程控制）；</w:t>
      </w:r>
    </w:p>
    <w:p>
      <w:pPr>
        <w:pStyle w:val="text"/>
        <w:numPr>
          <w:ilvl w:val="1"/>
          <w:numId w:val="4"/>
        </w:numPr>
      </w:pPr>
      <w:r>
        <w:t xml:space="preserve">软件：开发 “</w:t>
      </w:r>
      <w:r>
        <w:rPr>
          <w:b/>
          <w:bCs/>
        </w:rPr>
        <w:t xml:space="preserve">Unitank 无人值守运维平台</w:t>
      </w:r>
      <w:r>
        <w:t xml:space="preserve">”，集成数据监测、设备控制、报警管理、视频联动功能，支持电脑端、手机 APP 端访问（APP 具备指纹 + 验证码双重登录认证）。</w:t>
      </w:r>
    </w:p>
    <w:p>
      <w:pPr>
        <w:pStyle w:val="text"/>
        <w:numPr>
          <w:ilvl w:val="0"/>
          <w:numId w:val="11"/>
        </w:numPr>
      </w:pPr>
      <w:r>
        <w:rPr>
          <w:b/>
          <w:bCs/>
        </w:rPr>
        <w:t xml:space="preserve">远程响应权限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普通运维人员：可查看实时数据、接收报警信息、申请远程控制权限；</w:t>
      </w:r>
    </w:p>
    <w:p>
      <w:pPr>
        <w:pStyle w:val="text"/>
        <w:numPr>
          <w:ilvl w:val="1"/>
          <w:numId w:val="4"/>
        </w:numPr>
      </w:pPr>
      <w:r>
        <w:t xml:space="preserve">高级运维人员（24 小时轮值）：拥有远程控制权限，可操作设备启停、参数调整，同时负责协调现场支援。</w:t>
      </w:r>
    </w:p>
    <w:p>
      <w:pPr>
        <w:pStyle w:val="Heading2"/>
      </w:pPr>
      <w:r>
        <w:t xml:space="preserve">四、分级应急响应机制（无现场人员参与）</w:t>
      </w:r>
    </w:p>
    <w:p>
      <w:pPr>
        <w:pStyle w:val="Heading3"/>
      </w:pPr>
      <w:r>
        <w:t xml:space="preserve">（一）报警分级标准</w:t>
      </w:r>
    </w:p>
    <w:p>
      <w:pPr>
        <w:pStyle w:val="text"/>
      </w:pPr>
    </w:p>
    <w:tbl>
      <w:tblPr>
        <w:tblW w:type="auto" w:w="1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报警级别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触发场景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响应要求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一级报警（紧急）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1. 出水水质超标（如 COD＞50mg/L）；2. 核心设备无备用（如唯一曝气风机故障）；3. 有毒气体浓度超爆炸极限（如硫化氢＞100ppm）；4. 火灾、水池溢水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10 分钟内远程响应，30 分钟内现场支援到位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二级报警（异常）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1. 进水水质波动较大（如 pH＜6 或＞9）；2. 非核心设备故障（如加药泵故障，有备用）；3. 电气参数轻微异常（如电压波动 ±5%）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30 分钟内远程响应，无需现场支援（系统可自愈）</w:t>
            </w:r>
          </w:p>
        </w:tc>
      </w:tr>
      <w:tr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三级报警（提示）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1. 设备维护周期将至（如风机运行满 3000 小时）；2. 传感器数据漂移（如 DO 值偏差 ±0.5mg/L）；3. 备用设备电量不足（如应急电源电量＜20%）</w:t>
            </w:r>
          </w:p>
        </w:tc>
        <w:tc>
          <w:tcPr>
            <w:tcW w:type="dxa" w:w="2760"/>
            <w:tcBorders>
              <w:top w:val="single" w:color="DEE0E3" w:sz="0" w:space="0"/>
              <w:start w:val="single" w:color="DEE0E3" w:sz="0" w:space="0"/>
              <w:left w:val="single" w:color="DEE0E3" w:sz="0" w:space="0"/>
              <w:bottom w:val="single" w:color="DEE0E3" w:sz="0" w:space="0"/>
              <w:end w:val="single" w:color="DEE0E3" w:sz="0" w:space="0"/>
              <w:right w:val="single" w:color="DEE0E3" w:sz="0" w:space="0"/>
            </w:tcBorders>
            <w:tcMar>
              <w:top w:type="dxa" w:w="60"/>
              <w:left w:type="dxa" w:w="120"/>
              <w:bottom w:type="dxa" w:w="30"/>
              <w:right w:type="dxa" w:w="120"/>
            </w:tcMar>
          </w:tcPr>
          <w:p>
            <w:pPr>
              <w:pStyle w:val="text"/>
            </w:pPr>
            <w:r>
              <w:t xml:space="preserve">次日 8:00 前处理，无需夜间响应</w:t>
            </w:r>
          </w:p>
        </w:tc>
      </w:tr>
    </w:tbl>
    <w:p>
      <w:pPr>
        <w:pStyle w:val="Heading3"/>
      </w:pPr>
      <w:r>
        <w:t xml:space="preserve">（二）应急响应流程</w:t>
      </w:r>
    </w:p>
    <w:p>
      <w:pPr>
        <w:pStyle w:val="text"/>
        <w:numPr>
          <w:ilvl w:val="0"/>
          <w:numId w:val="12"/>
        </w:numPr>
      </w:pPr>
      <w:r>
        <w:rPr>
          <w:b/>
          <w:bCs/>
        </w:rPr>
        <w:t xml:space="preserve">一级报警响应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系统触发报警后，立即通过 “</w:t>
      </w:r>
      <w:r>
        <w:rPr>
          <w:b/>
          <w:bCs/>
        </w:rPr>
        <w:t xml:space="preserve">手机 APP 推送 + 短信 + 电话</w:t>
      </w:r>
      <w:r>
        <w:t xml:space="preserve">” 通知 3 名轮值高级运维人员（确保至少 1 人及时接收）；</w:t>
      </w:r>
    </w:p>
    <w:p>
      <w:pPr>
        <w:pStyle w:val="text"/>
        <w:numPr>
          <w:ilvl w:val="1"/>
          <w:numId w:val="4"/>
        </w:numPr>
      </w:pPr>
      <w:r>
        <w:t xml:space="preserve">运维人员通过 APP 查看 “故障点位 + 实时数据 + 现场视频”，判断是否可远程处理（如远程启动备用设备）；</w:t>
      </w:r>
    </w:p>
    <w:p>
      <w:pPr>
        <w:pStyle w:val="text"/>
        <w:numPr>
          <w:ilvl w:val="1"/>
          <w:numId w:val="4"/>
        </w:numPr>
      </w:pPr>
      <w:r>
        <w:t xml:space="preserve">若远程无法处理（如设备物理损坏），立即联系 “夜间应急维修团队”（24 小时待命，距厂区车程≤30 分钟），同时向环保部门提交 “应急情况报备”（系统自动生成报备模板）；</w:t>
      </w:r>
    </w:p>
    <w:p>
      <w:pPr>
        <w:pStyle w:val="text"/>
        <w:numPr>
          <w:ilvl w:val="1"/>
          <w:numId w:val="4"/>
        </w:numPr>
      </w:pPr>
      <w:r>
        <w:t xml:space="preserve">维修人员到达厂区后，通过 “远程授权门禁” 进入，处理过程中实时向运维中心反馈进度，故障解决后系统自动复位，生成应急处理报告。</w:t>
      </w:r>
    </w:p>
    <w:p>
      <w:pPr>
        <w:pStyle w:val="text"/>
        <w:numPr>
          <w:ilvl w:val="0"/>
          <w:numId w:val="13"/>
        </w:numPr>
      </w:pPr>
      <w:r>
        <w:rPr>
          <w:b/>
          <w:bCs/>
        </w:rPr>
        <w:t xml:space="preserve">二级报警响应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系统自动启动 “故障自愈程序”（如切换备用加药泵），同时向运维人员 APP 推送 “异常信息 + 自愈结果”；</w:t>
      </w:r>
    </w:p>
    <w:p>
      <w:pPr>
        <w:pStyle w:val="text"/>
        <w:numPr>
          <w:ilvl w:val="1"/>
          <w:numId w:val="4"/>
        </w:numPr>
      </w:pPr>
      <w:r>
        <w:t xml:space="preserve">运维人员确认自愈效果，若自愈失败（如备用泵也故障），升级为一级报警；</w:t>
      </w:r>
    </w:p>
    <w:p>
      <w:pPr>
        <w:pStyle w:val="text"/>
        <w:numPr>
          <w:ilvl w:val="1"/>
          <w:numId w:val="4"/>
        </w:numPr>
      </w:pPr>
      <w:r>
        <w:t xml:space="preserve">次日白天安排维修人员对故障设备进行检修，同时更新系统参数（如调整备用设备切换阈值）。</w:t>
      </w:r>
    </w:p>
    <w:p>
      <w:pPr>
        <w:pStyle w:val="text"/>
        <w:numPr>
          <w:ilvl w:val="0"/>
          <w:numId w:val="14"/>
        </w:numPr>
      </w:pPr>
      <w:r>
        <w:rPr>
          <w:b/>
          <w:bCs/>
        </w:rPr>
        <w:t xml:space="preserve">三级报警响应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系统在运维平台 “待处理任务” 栏记录报警信息，同时发送 “次日处理提醒” 至运维人员邮箱；</w:t>
      </w:r>
    </w:p>
    <w:p>
      <w:pPr>
        <w:pStyle w:val="text"/>
        <w:numPr>
          <w:ilvl w:val="1"/>
          <w:numId w:val="4"/>
        </w:numPr>
      </w:pPr>
      <w:r>
        <w:t xml:space="preserve">次日上班后，运维人员根据报警类型安排维护（如校准传感器、更换应急电源），处理完成后标记 “已解决”，系统留存记录。</w:t>
      </w:r>
    </w:p>
    <w:p>
      <w:pPr>
        <w:pStyle w:val="Heading2"/>
      </w:pPr>
      <w:r>
        <w:t xml:space="preserve">五、日常维护与系统保障措施</w:t>
      </w:r>
    </w:p>
    <w:p>
      <w:pPr>
        <w:pStyle w:val="Heading3"/>
      </w:pPr>
      <w:r>
        <w:t xml:space="preserve">（一）设备与系统定期维护计划</w:t>
      </w:r>
    </w:p>
    <w:p>
      <w:pPr>
        <w:pStyle w:val="text"/>
        <w:numPr>
          <w:ilvl w:val="0"/>
          <w:numId w:val="15"/>
        </w:numPr>
      </w:pPr>
      <w:r>
        <w:rPr>
          <w:b/>
          <w:bCs/>
        </w:rPr>
        <w:t xml:space="preserve">每日维护（远程完成）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运维人员通过平台查看 “设备运行时长、传感器数据偏差、备用设备状态”，确认无异常后生成《每日运行报告》；</w:t>
      </w:r>
    </w:p>
    <w:p>
      <w:pPr>
        <w:pStyle w:val="text"/>
        <w:numPr>
          <w:ilvl w:val="1"/>
          <w:numId w:val="4"/>
        </w:numPr>
      </w:pPr>
      <w:r>
        <w:t xml:space="preserve">系统自动对 “历史数据进行备份”（本地 + 云端双备份），防止数据丢失。</w:t>
      </w:r>
    </w:p>
    <w:p>
      <w:pPr>
        <w:pStyle w:val="text"/>
        <w:numPr>
          <w:ilvl w:val="0"/>
          <w:numId w:val="16"/>
        </w:numPr>
      </w:pPr>
      <w:r>
        <w:rPr>
          <w:b/>
          <w:bCs/>
        </w:rPr>
        <w:t xml:space="preserve">每周维护（现场完成，白天进行）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维护团队对 “传感器进行校准”（如 COD 监测仪用标准溶液校准）、“设备润滑油补充”（如风机轴承加油）、“应急电源充电”（确保电量≥80%）；</w:t>
      </w:r>
    </w:p>
    <w:p>
      <w:pPr>
        <w:pStyle w:val="text"/>
        <w:numPr>
          <w:ilvl w:val="1"/>
          <w:numId w:val="4"/>
        </w:numPr>
      </w:pPr>
      <w:r>
        <w:t xml:space="preserve">检查 “安防系统联动效果”（如触发红外探测器，查看摄像头是否准确对准、报警是否正常推送）。</w:t>
      </w:r>
    </w:p>
    <w:p>
      <w:pPr>
        <w:pStyle w:val="text"/>
        <w:numPr>
          <w:ilvl w:val="0"/>
          <w:numId w:val="17"/>
        </w:numPr>
      </w:pPr>
      <w:r>
        <w:rPr>
          <w:b/>
          <w:bCs/>
        </w:rPr>
        <w:t xml:space="preserve">每月维护（现场完成，白天进行）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对 “备用设备进行启停测试”（如启动备用进水泵运行 30 分钟，检查运行参数）；</w:t>
      </w:r>
    </w:p>
    <w:p>
      <w:pPr>
        <w:pStyle w:val="text"/>
        <w:numPr>
          <w:ilvl w:val="1"/>
          <w:numId w:val="4"/>
        </w:numPr>
      </w:pPr>
      <w:r>
        <w:t xml:space="preserve">对 “远程运维平台进行压力测试”（模拟 1000 条数据同时上传，测试系统稳定性）；</w:t>
      </w:r>
    </w:p>
    <w:p>
      <w:pPr>
        <w:pStyle w:val="text"/>
        <w:numPr>
          <w:ilvl w:val="1"/>
          <w:numId w:val="4"/>
        </w:numPr>
      </w:pPr>
      <w:r>
        <w:t xml:space="preserve">检查 “应急维修团队响应速度”（随机拨打支援电话，要求 3 分钟内接听，确认待命状态）。</w:t>
      </w:r>
    </w:p>
    <w:p>
      <w:pPr>
        <w:pStyle w:val="Heading3"/>
      </w:pPr>
      <w:r>
        <w:t xml:space="preserve">（二）系统冗余与断电保障</w:t>
      </w:r>
    </w:p>
    <w:p>
      <w:pPr>
        <w:pStyle w:val="text"/>
        <w:numPr>
          <w:ilvl w:val="0"/>
          <w:numId w:val="18"/>
        </w:numPr>
      </w:pPr>
      <w:r>
        <w:rPr>
          <w:b/>
          <w:bCs/>
        </w:rPr>
        <w:t xml:space="preserve">网络冗余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厂区同时部署 “</w:t>
      </w:r>
      <w:r>
        <w:rPr>
          <w:b/>
          <w:bCs/>
        </w:rPr>
        <w:t xml:space="preserve">工业以太网 + 4G/5G 无线备份网络</w:t>
      </w:r>
      <w:r>
        <w:t xml:space="preserve">”，若以太网中断，系统自动切换至无线网络，确保数据传输不中断（无线流量每月预留 50GB 应急额度）。</w:t>
      </w:r>
    </w:p>
    <w:p>
      <w:pPr>
        <w:pStyle w:val="text"/>
        <w:numPr>
          <w:ilvl w:val="0"/>
          <w:numId w:val="19"/>
        </w:numPr>
      </w:pPr>
      <w:r>
        <w:rPr>
          <w:b/>
          <w:bCs/>
        </w:rPr>
        <w:t xml:space="preserve">供电冗余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关键设备（监控系统、边缘计算网关、应急排水泵）接入 “</w:t>
      </w:r>
      <w:r>
        <w:rPr>
          <w:b/>
          <w:bCs/>
        </w:rPr>
        <w:t xml:space="preserve">UPS 不间断电源</w:t>
      </w:r>
      <w:r>
        <w:t xml:space="preserve">”，断电后可维持运行 2 小时；</w:t>
      </w:r>
    </w:p>
    <w:p>
      <w:pPr>
        <w:pStyle w:val="text"/>
        <w:numPr>
          <w:ilvl w:val="1"/>
          <w:numId w:val="4"/>
        </w:numPr>
      </w:pPr>
      <w:r>
        <w:t xml:space="preserve">厂区配备 “</w:t>
      </w:r>
      <w:r>
        <w:rPr>
          <w:b/>
          <w:bCs/>
        </w:rPr>
        <w:t xml:space="preserve">柴油应急发电机</w:t>
      </w:r>
      <w:r>
        <w:t xml:space="preserve">”，断电 30 秒内自动启动，可满足所有核心设备（进水泵、曝气风机、监控系统）运行 8 小时，同时发电机每周自动启动测试 1 次（运行 10 分钟）。</w:t>
      </w:r>
    </w:p>
    <w:p>
      <w:pPr>
        <w:pStyle w:val="Heading2"/>
      </w:pPr>
      <w:r>
        <w:t xml:space="preserve">六、方案实施与效果验证</w:t>
      </w:r>
    </w:p>
    <w:p>
      <w:pPr>
        <w:pStyle w:val="Heading3"/>
      </w:pPr>
      <w:r>
        <w:t xml:space="preserve">（一）实施步骤（3 个月周期）</w:t>
      </w:r>
    </w:p>
    <w:p>
      <w:pPr>
        <w:pStyle w:val="text"/>
        <w:numPr>
          <w:ilvl w:val="0"/>
          <w:numId w:val="20"/>
        </w:numPr>
      </w:pPr>
      <w:r>
        <w:rPr>
          <w:b/>
          <w:bCs/>
        </w:rPr>
        <w:t xml:space="preserve">第 1 个月：系统改造与测试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完成传感器、自动控制模块、远程运维平台安装；</w:t>
      </w:r>
    </w:p>
    <w:p>
      <w:pPr>
        <w:pStyle w:val="text"/>
        <w:numPr>
          <w:ilvl w:val="1"/>
          <w:numId w:val="4"/>
        </w:numPr>
      </w:pPr>
      <w:r>
        <w:t xml:space="preserve">对每台设备进行 “自动控制测试”（如模拟进水泵故障，查看备用泵是否自动启动），对每类报警进行 “模拟触发测试”（如人为调整 DO 值至阈值以下，查看报警是否正常推送）。</w:t>
      </w:r>
    </w:p>
    <w:p>
      <w:pPr>
        <w:pStyle w:val="text"/>
        <w:numPr>
          <w:ilvl w:val="0"/>
          <w:numId w:val="21"/>
        </w:numPr>
      </w:pPr>
      <w:r>
        <w:rPr>
          <w:b/>
          <w:bCs/>
        </w:rPr>
        <w:t xml:space="preserve">第 2 个月：半无人值守试运行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夜间 22:00 - 次日 6:00 厂区无人员，但安排 1 名运维人员在远程中心 “实时盯屏”，记录系统异常情况（如报警误触发、自愈失败）；</w:t>
      </w:r>
    </w:p>
    <w:p>
      <w:pPr>
        <w:pStyle w:val="text"/>
        <w:numPr>
          <w:ilvl w:val="1"/>
          <w:numId w:val="4"/>
        </w:numPr>
      </w:pPr>
      <w:r>
        <w:t xml:space="preserve">每周召开试运行复盘会，优化系统参数（如调整 DO 控制阈值、缩短报警响应时间）。</w:t>
      </w:r>
    </w:p>
    <w:p>
      <w:pPr>
        <w:pStyle w:val="text"/>
        <w:numPr>
          <w:ilvl w:val="0"/>
          <w:numId w:val="22"/>
        </w:numPr>
      </w:pPr>
      <w:r>
        <w:rPr>
          <w:b/>
          <w:bCs/>
        </w:rPr>
        <w:t xml:space="preserve">第 3 个月：全无人值守正式运行</w:t>
      </w:r>
      <w:r>
        <w:t xml:space="preserve">：</w:t>
      </w:r>
    </w:p>
    <w:p>
      <w:pPr>
        <w:pStyle w:val="text"/>
        <w:numPr>
          <w:ilvl w:val="1"/>
          <w:numId w:val="4"/>
        </w:numPr>
      </w:pPr>
      <w:r>
        <w:t xml:space="preserve">取消远程中心 “实时盯屏”，仅保留轮值运维人员（手机 APP 接收报警）；</w:t>
      </w:r>
    </w:p>
    <w:p>
      <w:pPr>
        <w:pStyle w:val="text"/>
        <w:numPr>
          <w:ilvl w:val="1"/>
          <w:numId w:val="4"/>
        </w:numPr>
      </w:pPr>
      <w:r>
        <w:t xml:space="preserve">每月统计 “设备故障自愈率、出水达标率、应急响应及时率”，若 3 项指标均≥98%，则正式固化运行模式。</w:t>
      </w:r>
    </w:p>
    <w:p>
      <w:pPr>
        <w:pStyle w:val="Heading3"/>
      </w:pPr>
      <w:r>
        <w:t xml:space="preserve">（二）效果验证指标</w:t>
      </w:r>
    </w:p>
    <w:p>
      <w:pPr>
        <w:pStyle w:val="text"/>
        <w:numPr>
          <w:ilvl w:val="0"/>
          <w:numId w:val="23"/>
        </w:numPr>
      </w:pPr>
      <w:r>
        <w:rPr>
          <w:b/>
          <w:bCs/>
        </w:rPr>
        <w:t xml:space="preserve">无人化验证</w:t>
      </w:r>
      <w:r>
        <w:t xml:space="preserve">：夜间厂区人员考勤记录为 0，门禁系统无夜间开门记录；</w:t>
      </w:r>
    </w:p>
    <w:p>
      <w:pPr>
        <w:pStyle w:val="text"/>
        <w:numPr>
          <w:ilvl w:val="0"/>
          <w:numId w:val="23"/>
        </w:numPr>
      </w:pPr>
      <w:r>
        <w:rPr>
          <w:b/>
          <w:bCs/>
        </w:rPr>
        <w:t xml:space="preserve">运行稳定性验证</w:t>
      </w:r>
      <w:r>
        <w:t xml:space="preserve">：夜间出水水质达标率 100%，设备故障自愈率≥95%（非核心设备）；</w:t>
      </w:r>
    </w:p>
    <w:p>
      <w:pPr>
        <w:pStyle w:val="text"/>
        <w:numPr>
          <w:ilvl w:val="0"/>
          <w:numId w:val="23"/>
        </w:numPr>
      </w:pPr>
      <w:r>
        <w:rPr>
          <w:b/>
          <w:bCs/>
        </w:rPr>
        <w:t xml:space="preserve">应急响应验证</w:t>
      </w:r>
      <w:r>
        <w:t xml:space="preserve">：一级报警平均响应时间≤8 分钟，现场支援平均到位时间≤25 分钟；</w:t>
      </w:r>
    </w:p>
    <w:p>
      <w:pPr>
        <w:pStyle w:val="text"/>
        <w:numPr>
          <w:ilvl w:val="0"/>
          <w:numId w:val="23"/>
        </w:numPr>
      </w:pPr>
      <w:r>
        <w:rPr>
          <w:b/>
          <w:bCs/>
        </w:rPr>
        <w:t xml:space="preserve">成本验证</w:t>
      </w:r>
      <w:r>
        <w:t xml:space="preserve">：夜间人工成本较传统值守模式降低 90%（无需支付夜间加班费、现场人员补贴）。</w:t>
      </w:r>
    </w:p>
    <w:p>
      <w:pPr>
        <w:pStyle w:val="Heading2"/>
      </w:pPr>
      <w:r>
        <w:t xml:space="preserve">七、风险兜底措施</w:t>
      </w:r>
    </w:p>
    <w:p>
      <w:pPr>
        <w:pStyle w:val="text"/>
        <w:numPr>
          <w:ilvl w:val="0"/>
          <w:numId w:val="24"/>
        </w:numPr>
      </w:pPr>
      <w:r>
        <w:rPr>
          <w:b/>
          <w:bCs/>
        </w:rPr>
        <w:t xml:space="preserve">极端天气应对</w:t>
      </w:r>
      <w:r>
        <w:t xml:space="preserve">：暴雨、暴雪等极端天气前，系统自动将 “调节池液位降至 50%”，预留缓冲空间，同时远程启动 “应急排水泵预热”，防止管道冻堵；</w:t>
      </w:r>
    </w:p>
    <w:p>
      <w:pPr>
        <w:pStyle w:val="text"/>
        <w:numPr>
          <w:ilvl w:val="0"/>
          <w:numId w:val="24"/>
        </w:numPr>
      </w:pPr>
      <w:r>
        <w:rPr>
          <w:b/>
          <w:bCs/>
        </w:rPr>
        <w:t xml:space="preserve">系统瘫痪应对</w:t>
      </w:r>
      <w:r>
        <w:t xml:space="preserve">：若远程运维平台完全瘫痪，厂区 “本地应急控制柜” 可手动操作核心设备（需授权人员持加密钥匙进入），同时触发 “最高级别报警”，通知所有运维人员紧急支援；</w:t>
      </w:r>
    </w:p>
    <w:p>
      <w:pPr>
        <w:pStyle w:val="text"/>
        <w:numPr>
          <w:ilvl w:val="0"/>
          <w:numId w:val="24"/>
        </w:numPr>
      </w:pPr>
      <w:r>
        <w:rPr>
          <w:b/>
          <w:bCs/>
        </w:rPr>
        <w:t xml:space="preserve">环保合规兜底</w:t>
      </w:r>
      <w:r>
        <w:t xml:space="preserve">：在总排口安装 “</w:t>
      </w:r>
      <w:r>
        <w:rPr>
          <w:b/>
          <w:bCs/>
        </w:rPr>
        <w:t xml:space="preserve">应急截流阀</w:t>
      </w:r>
      <w:r>
        <w:t xml:space="preserve">”，若出水水质持续超标且无法远程控制，系统自动关闭截流阀，将污水回流至调节池，同时向环保部门实时上传 “截流状态 + 处理进展”，避免违规排放。</w:t>
      </w:r>
    </w:p>
    <w:p>
      <w:pPr>
        <w:pStyle w:val="blockquote"/>
        <w:pBdr>
          <w:left w:val="single" w:color="BBBFC4" w:sz="18" w:space="0"/>
        </w:pBdr>
      </w:pPr>
      <w:r>
        <w:t xml:space="preserve">（注：文档部分内容可能由 AI 生成）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288" w:hanging="288"/>
      </w:pPr>
      <w:rPr>
        <w:color w:val="3370FF"/>
        <w:sz w:val="22"/>
        <w:szCs w:val="22"/>
      </w:rPr>
    </w:lvl>
    <w:lvl w:ilvl="1" w15:tentative="1">
      <w:start w:val="1"/>
      <w:numFmt w:val="lowerLetter"/>
      <w:lvlText w:val="%2."/>
      <w:lvlJc w:val="start"/>
      <w:pPr>
        <w:ind w:left="720" w:hanging="288"/>
      </w:pPr>
      <w:rPr>
        <w:color w:val="3370FF"/>
        <w:sz w:val="22"/>
        <w:szCs w:val="22"/>
      </w:rPr>
    </w:lvl>
    <w:lvl w:ilvl="2" w15:tentative="1">
      <w:start w:val="1"/>
      <w:numFmt w:val="lowerRoman"/>
      <w:lvlText w:val="%3."/>
      <w:lvlJc w:val="start"/>
      <w:pPr>
        <w:ind w:left="1152" w:hanging="288"/>
      </w:pPr>
      <w:rPr>
        <w:color w:val="3370FF"/>
        <w:sz w:val="22"/>
        <w:szCs w:val="22"/>
      </w:rPr>
    </w:lvl>
    <w:lvl w:ilvl="3" w15:tentative="1">
      <w:start w:val="1"/>
      <w:numFmt w:val="decimal"/>
      <w:lvlText w:val="%4."/>
      <w:lvlJc w:val="start"/>
      <w:pPr>
        <w:ind w:left="1583" w:hanging="288"/>
      </w:pPr>
      <w:rPr>
        <w:color w:val="3370FF"/>
        <w:sz w:val="22"/>
        <w:szCs w:val="22"/>
      </w:rPr>
    </w:lvl>
    <w:lvl w:ilvl="4" w15:tentative="1">
      <w:start w:val="1"/>
      <w:numFmt w:val="lowerLetter"/>
      <w:lvlText w:val="%5."/>
      <w:lvlJc w:val="start"/>
      <w:pPr>
        <w:ind w:left="2015" w:hanging="288"/>
      </w:pPr>
      <w:rPr>
        <w:color w:val="3370FF"/>
        <w:sz w:val="22"/>
        <w:szCs w:val="22"/>
      </w:rPr>
    </w:lvl>
    <w:lvl w:ilvl="5" w15:tentative="1">
      <w:start w:val="1"/>
      <w:numFmt w:val="lowerRoman"/>
      <w:lvlText w:val="%6."/>
      <w:lvlJc w:val="start"/>
      <w:pPr>
        <w:ind w:left="2448" w:hanging="288"/>
      </w:pPr>
      <w:rPr>
        <w:color w:val="3370FF"/>
        <w:sz w:val="22"/>
        <w:szCs w:val="22"/>
      </w:rPr>
    </w:lvl>
    <w:lvl w:ilvl="6" w15:tentative="1">
      <w:start w:val="1"/>
      <w:numFmt w:val="decimal"/>
      <w:lvlText w:val="%7."/>
      <w:lvlJc w:val="start"/>
      <w:pPr>
        <w:ind w:left="2879" w:hanging="288"/>
      </w:pPr>
      <w:rPr>
        <w:color w:val="3370FF"/>
        <w:sz w:val="22"/>
        <w:szCs w:val="22"/>
      </w:rPr>
    </w:lvl>
    <w:lvl w:ilvl="7" w15:tentative="1">
      <w:start w:val="1"/>
      <w:numFmt w:val="lowerLetter"/>
      <w:lvlText w:val="%8."/>
      <w:lvlJc w:val="start"/>
      <w:pPr>
        <w:ind w:left="3312" w:hanging="288"/>
      </w:pPr>
      <w:rPr>
        <w:color w:val="3370FF"/>
        <w:sz w:val="22"/>
        <w:szCs w:val="22"/>
      </w:rPr>
    </w:lvl>
    <w:lvl w:ilvl="8" w15:tentative="1">
      <w:start w:val="1"/>
      <w:numFmt w:val="lowerRoman"/>
      <w:lvlText w:val="%9."/>
      <w:lvlJc w:val="start"/>
      <w:pPr>
        <w:ind w:left="3744" w:hanging="288"/>
      </w:pPr>
      <w:rPr>
        <w:color w:val="3370FF"/>
        <w:sz w:val="22"/>
        <w:szCs w:val="22"/>
      </w:rPr>
    </w:lvl>
    <w:lvl w:ilvl="9" w15:tentative="1">
      <w:start w:val="1"/>
      <w:numFmt w:val="decimal"/>
      <w:lvlText w:val="%10."/>
      <w:lvlJc w:val="start"/>
      <w:pPr>
        <w:ind w:left="4176" w:hanging="288"/>
      </w:pPr>
      <w:rPr>
        <w:color w:val="3370FF"/>
        <w:sz w:val="22"/>
        <w:szCs w:val="22"/>
      </w:rPr>
    </w:lvl>
  </w:abstractNum>
  <w:abstractNum w:abstractNumId="3" w15:restartNumberingAfterBreak="0">
    <w:multiLevelType w:val="hybridMultilevel"/>
    <w:lvl w:ilvl="0" w15:tentative="1">
      <w:start w:val="1"/>
      <w:numFmt w:val="bullet"/>
      <w:lvlText w:val="•"/>
      <w:lvlJc w:val="start"/>
      <w:pPr>
        <w:ind w:left="288" w:hanging="288"/>
      </w:pPr>
      <w:rPr>
        <w:color w:val="3370FF"/>
        <w:sz w:val="22"/>
        <w:szCs w:val="22"/>
      </w:rPr>
    </w:lvl>
    <w:lvl w:ilvl="1" w15:tentative="1">
      <w:start w:val="1"/>
      <w:numFmt w:val="bullet"/>
      <w:lvlText w:val="◦"/>
      <w:lvlJc w:val="start"/>
      <w:pPr>
        <w:ind w:left="720" w:hanging="288"/>
      </w:pPr>
      <w:rPr>
        <w:color w:val="3370FF"/>
        <w:sz w:val="22"/>
        <w:szCs w:val="22"/>
      </w:rPr>
    </w:lvl>
    <w:lvl w:ilvl="2" w15:tentative="1">
      <w:start w:val="1"/>
      <w:numFmt w:val="bullet"/>
      <w:lvlText w:val="▪"/>
      <w:lvlJc w:val="start"/>
      <w:pPr>
        <w:ind w:left="1152" w:hanging="288"/>
      </w:pPr>
      <w:rPr>
        <w:color w:val="3370FF"/>
        <w:sz w:val="22"/>
        <w:szCs w:val="22"/>
      </w:rPr>
    </w:lvl>
    <w:lvl w:ilvl="3" w15:tentative="1">
      <w:start w:val="1"/>
      <w:numFmt w:val="bullet"/>
      <w:lvlText w:val="•"/>
      <w:lvlJc w:val="start"/>
      <w:pPr>
        <w:ind w:left="1583" w:hanging="288"/>
      </w:pPr>
      <w:rPr>
        <w:color w:val="3370FF"/>
        <w:sz w:val="22"/>
        <w:szCs w:val="22"/>
      </w:rPr>
    </w:lvl>
    <w:lvl w:ilvl="4" w15:tentative="1">
      <w:start w:val="1"/>
      <w:numFmt w:val="bullet"/>
      <w:lvlText w:val="◦"/>
      <w:lvlJc w:val="start"/>
      <w:pPr>
        <w:ind w:left="2015" w:hanging="288"/>
      </w:pPr>
      <w:rPr>
        <w:color w:val="3370FF"/>
        <w:sz w:val="22"/>
        <w:szCs w:val="22"/>
      </w:rPr>
    </w:lvl>
    <w:lvl w:ilvl="5" w15:tentative="1">
      <w:start w:val="1"/>
      <w:numFmt w:val="bullet"/>
      <w:lvlText w:val="▪"/>
      <w:lvlJc w:val="start"/>
      <w:pPr>
        <w:ind w:left="2448" w:hanging="288"/>
      </w:pPr>
      <w:rPr>
        <w:color w:val="3370FF"/>
        <w:sz w:val="22"/>
        <w:szCs w:val="22"/>
      </w:rPr>
    </w:lvl>
    <w:lvl w:ilvl="6" w15:tentative="1">
      <w:start w:val="1"/>
      <w:numFmt w:val="bullet"/>
      <w:lvlText w:val="•"/>
      <w:lvlJc w:val="start"/>
      <w:pPr>
        <w:ind w:left="2879" w:hanging="288"/>
      </w:pPr>
      <w:rPr>
        <w:color w:val="3370FF"/>
        <w:sz w:val="22"/>
        <w:szCs w:val="22"/>
      </w:rPr>
    </w:lvl>
    <w:lvl w:ilvl="7" w15:tentative="1">
      <w:start w:val="1"/>
      <w:numFmt w:val="bullet"/>
      <w:lvlText w:val="◦"/>
      <w:lvlJc w:val="start"/>
      <w:pPr>
        <w:ind w:left="3312" w:hanging="288"/>
      </w:pPr>
      <w:rPr>
        <w:color w:val="3370FF"/>
        <w:sz w:val="22"/>
        <w:szCs w:val="22"/>
      </w:rPr>
    </w:lvl>
    <w:lvl w:ilvl="8" w15:tentative="1">
      <w:start w:val="1"/>
      <w:numFmt w:val="bullet"/>
      <w:lvlText w:val="▪"/>
      <w:lvlJc w:val="start"/>
      <w:pPr>
        <w:ind w:left="3744" w:hanging="288"/>
      </w:pPr>
      <w:rPr>
        <w:color w:val="3370FF"/>
        <w:sz w:val="22"/>
        <w:szCs w:val="22"/>
      </w:rPr>
    </w:lvl>
    <w:lvl w:ilvl="9" w15:tentative="1">
      <w:start w:val="1"/>
      <w:numFmt w:val="bullet"/>
      <w:lvlText w:val="•"/>
      <w:lvlJc w:val="start"/>
      <w:pPr>
        <w:ind w:left="4176" w:hanging="288"/>
      </w:pPr>
      <w:rPr>
        <w:color w:val="3370FF"/>
        <w:sz w:val="22"/>
        <w:szCs w:val="22"/>
      </w:rPr>
    </w:lvl>
  </w:abstractNum>
  <w:abstractNum w:abstractNumId="4" w15:restartNumberingAfterBreak="0">
    <w:multiLevelType w:val="hybridMultilevel"/>
    <w:lvl w:ilvl="0" w15:tentative="1">
      <w:start w:val="1"/>
      <w:numFmt w:val="custom"/>
      <w:lvlText w:val="☐"/>
      <w:lvlJc w:val="start"/>
      <w:pPr>
        <w:ind w:left="288" w:hanging="288"/>
      </w:pPr>
    </w:lvl>
    <w:lvl w:ilvl="1" w15:tentative="1">
      <w:start w:val="1"/>
      <w:numFmt w:val="custom"/>
      <w:lvlText w:val="☐"/>
      <w:lvlJc w:val="start"/>
      <w:pPr>
        <w:ind w:left="720" w:hanging="288"/>
      </w:pPr>
    </w:lvl>
    <w:lvl w:ilvl="2" w15:tentative="1">
      <w:start w:val="1"/>
      <w:numFmt w:val="custom"/>
      <w:lvlText w:val="☐"/>
      <w:lvlJc w:val="start"/>
      <w:pPr>
        <w:ind w:left="1152" w:hanging="288"/>
      </w:pPr>
    </w:lvl>
    <w:lvl w:ilvl="3" w15:tentative="1">
      <w:start w:val="1"/>
      <w:numFmt w:val="custom"/>
      <w:lvlText w:val="☐"/>
      <w:lvlJc w:val="start"/>
      <w:pPr>
        <w:ind w:left="1583" w:hanging="288"/>
      </w:pPr>
    </w:lvl>
    <w:lvl w:ilvl="4" w15:tentative="1">
      <w:start w:val="1"/>
      <w:numFmt w:val="custom"/>
      <w:lvlText w:val="☐"/>
      <w:lvlJc w:val="start"/>
      <w:pPr>
        <w:ind w:left="2015" w:hanging="288"/>
      </w:pPr>
    </w:lvl>
    <w:lvl w:ilvl="5" w15:tentative="1">
      <w:start w:val="1"/>
      <w:numFmt w:val="custom"/>
      <w:lvlText w:val="☐"/>
      <w:lvlJc w:val="start"/>
      <w:pPr>
        <w:ind w:left="2448" w:hanging="288"/>
      </w:pPr>
    </w:lvl>
    <w:lvl w:ilvl="6" w15:tentative="1">
      <w:start w:val="1"/>
      <w:numFmt w:val="custom"/>
      <w:lvlText w:val="☐"/>
      <w:lvlJc w:val="start"/>
      <w:pPr>
        <w:ind w:left="2879" w:hanging="288"/>
      </w:pPr>
    </w:lvl>
    <w:lvl w:ilvl="7" w15:tentative="1">
      <w:start w:val="1"/>
      <w:numFmt w:val="custom"/>
      <w:lvlText w:val="☐"/>
      <w:lvlJc w:val="start"/>
      <w:pPr>
        <w:ind w:left="3312" w:hanging="288"/>
      </w:pPr>
    </w:lvl>
    <w:lvl w:ilvl="8" w15:tentative="1">
      <w:start w:val="1"/>
      <w:numFmt w:val="custom"/>
      <w:lvlText w:val="☐"/>
      <w:lvlJc w:val="start"/>
      <w:pPr>
        <w:ind w:left="3744" w:hanging="288"/>
      </w:pPr>
    </w:lvl>
    <w:lvl w:ilvl="9" w15:tentative="1">
      <w:start w:val="1"/>
      <w:numFmt w:val="custom"/>
      <w:lvlText w:val="☐"/>
      <w:lvlJc w:val="start"/>
      <w:pPr>
        <w:ind w:left="4176" w:hanging="288"/>
      </w:pPr>
    </w:lvl>
  </w:abstractNum>
  <w:abstractNum w:abstractNumId="5" w15:restartNumberingAfterBreak="0">
    <w:multiLevelType w:val="hybridMultilevel"/>
    <w:lvl w:ilvl="0" w15:tentative="1">
      <w:start w:val="1"/>
      <w:numFmt w:val="custom"/>
      <w:lvlText w:val="☑"/>
      <w:lvlJc w:val="start"/>
      <w:pPr>
        <w:ind w:left="288" w:hanging="288"/>
      </w:pPr>
    </w:lvl>
    <w:lvl w:ilvl="1" w15:tentative="1">
      <w:start w:val="1"/>
      <w:numFmt w:val="custom"/>
      <w:lvlText w:val="☑"/>
      <w:lvlJc w:val="start"/>
      <w:pPr>
        <w:ind w:left="720" w:hanging="288"/>
      </w:pPr>
    </w:lvl>
    <w:lvl w:ilvl="2" w15:tentative="1">
      <w:start w:val="1"/>
      <w:numFmt w:val="custom"/>
      <w:lvlText w:val="☑"/>
      <w:lvlJc w:val="start"/>
      <w:pPr>
        <w:ind w:left="1152" w:hanging="288"/>
      </w:pPr>
    </w:lvl>
    <w:lvl w:ilvl="3" w15:tentative="1">
      <w:start w:val="1"/>
      <w:numFmt w:val="custom"/>
      <w:lvlText w:val="☑"/>
      <w:lvlJc w:val="start"/>
      <w:pPr>
        <w:ind w:left="1583" w:hanging="288"/>
      </w:pPr>
    </w:lvl>
    <w:lvl w:ilvl="4" w15:tentative="1">
      <w:start w:val="1"/>
      <w:numFmt w:val="custom"/>
      <w:lvlText w:val="☑"/>
      <w:lvlJc w:val="start"/>
      <w:pPr>
        <w:ind w:left="2015" w:hanging="288"/>
      </w:pPr>
    </w:lvl>
    <w:lvl w:ilvl="5" w15:tentative="1">
      <w:start w:val="1"/>
      <w:numFmt w:val="custom"/>
      <w:lvlText w:val="☑"/>
      <w:lvlJc w:val="start"/>
      <w:pPr>
        <w:ind w:left="2448" w:hanging="288"/>
      </w:pPr>
    </w:lvl>
    <w:lvl w:ilvl="6" w15:tentative="1">
      <w:start w:val="1"/>
      <w:numFmt w:val="custom"/>
      <w:lvlText w:val="☑"/>
      <w:lvlJc w:val="start"/>
      <w:pPr>
        <w:ind w:left="2879" w:hanging="288"/>
      </w:pPr>
    </w:lvl>
    <w:lvl w:ilvl="7" w15:tentative="1">
      <w:start w:val="1"/>
      <w:numFmt w:val="custom"/>
      <w:lvlText w:val="☑"/>
      <w:lvlJc w:val="start"/>
      <w:pPr>
        <w:ind w:left="3312" w:hanging="288"/>
      </w:pPr>
    </w:lvl>
    <w:lvl w:ilvl="8" w15:tentative="1">
      <w:start w:val="1"/>
      <w:numFmt w:val="custom"/>
      <w:lvlText w:val="☑"/>
      <w:lvlJc w:val="start"/>
      <w:pPr>
        <w:ind w:left="3744" w:hanging="288"/>
      </w:pPr>
    </w:lvl>
    <w:lvl w:ilvl="9" w15:tentative="1">
      <w:start w:val="1"/>
      <w:numFmt w:val="custom"/>
      <w:lvlText w:val="☑"/>
      <w:lvlJc w:val="start"/>
      <w:pPr>
        <w:ind w:left="4176" w:hanging="288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2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2"/>
    <w:lvlOverride w:ilvl="0">
      <w:startOverride w:val="1"/>
    </w:lvlOverride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2"/>
    <w:lvlOverride w:ilvl="0">
      <w:startOverride w:val="1"/>
    </w:lvlOverride>
  </w:num>
  <w:num w:numId="21">
    <w:abstractNumId w:val="2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pPr>
      <w:spacing w:before="480" w:after="480" w:line="288" w:lineRule="auto"/>
      <w:ind w:left="0"/>
    </w:pPr>
    <w:rPr>
      <w:b/>
      <w:bCs/>
      <w:sz w:val="52"/>
      <w:szCs w:val="52"/>
      <w:rFonts w:ascii="Arial" w:hAnsi="Arial" w:eastAsia="等线" w:cs="Arial"/>
    </w:rPr>
  </w:style>
  <w:style w:type="paragraph" w:styleId="Heading1">
    <w:name w:val="Heading 1"/>
    <w:basedOn w:val="Normal"/>
    <w:next w:val="Normal"/>
    <w:qFormat/>
    <w:pPr>
      <w:spacing w:before="380" w:after="140" w:line="288" w:lineRule="auto"/>
      <w:ind w:left="0"/>
      <w:jc w:val="left"/>
      <w:outlineLvl w:val="0"/>
    </w:pPr>
    <w:rPr>
      <w:b/>
      <w:bCs/>
      <w:sz w:val="36"/>
      <w:szCs w:val="36"/>
      <w:rFonts w:ascii="Arial" w:hAnsi="Arial" w:eastAsia="等线" w:cs="Arial"/>
    </w:rPr>
  </w:style>
  <w:style w:type="paragraph" w:styleId="Heading2">
    <w:name w:val="Heading 2"/>
    <w:basedOn w:val="Normal"/>
    <w:next w:val="Normal"/>
    <w:qFormat/>
    <w:pPr>
      <w:spacing w:before="320" w:after="120" w:line="288" w:lineRule="auto"/>
      <w:ind w:left="0"/>
      <w:jc w:val="left"/>
      <w:outlineLvl w:val="1"/>
    </w:pPr>
    <w:rPr>
      <w:b/>
      <w:bCs/>
      <w:sz w:val="32"/>
      <w:szCs w:val="32"/>
      <w:rFonts w:ascii="Arial" w:hAnsi="Arial" w:eastAsia="等线" w:cs="Arial"/>
    </w:rPr>
  </w:style>
  <w:style w:type="paragraph" w:styleId="Heading3">
    <w:name w:val="Heading 3"/>
    <w:basedOn w:val="Normal"/>
    <w:next w:val="Normal"/>
    <w:qFormat/>
    <w:pPr>
      <w:spacing w:before="300" w:after="120" w:line="288" w:lineRule="auto"/>
      <w:ind w:left="0"/>
      <w:jc w:val="left"/>
      <w:outlineLvl w:val="2"/>
    </w:pPr>
    <w:rPr>
      <w:b/>
      <w:bCs/>
      <w:sz w:val="30"/>
      <w:szCs w:val="30"/>
      <w:rFonts w:ascii="Arial" w:hAnsi="Arial" w:eastAsia="等线" w:cs="Arial"/>
    </w:rPr>
  </w:style>
  <w:style w:type="paragraph" w:styleId="Heading4">
    <w:name w:val="Heading 4"/>
    <w:basedOn w:val="Normal"/>
    <w:next w:val="Normal"/>
    <w:qFormat/>
    <w:pPr>
      <w:spacing w:before="260" w:after="120" w:line="288" w:lineRule="auto"/>
      <w:ind w:left="0"/>
      <w:jc w:val="left"/>
      <w:outlineLvl w:val="3"/>
    </w:pPr>
    <w:rPr>
      <w:b/>
      <w:bCs/>
      <w:sz w:val="28"/>
      <w:szCs w:val="28"/>
      <w:rFonts w:ascii="Arial" w:hAnsi="Arial" w:eastAsia="等线" w:cs="Arial"/>
    </w:rPr>
  </w:style>
  <w:style w:type="paragraph" w:styleId="Heading5">
    <w:name w:val="Heading 5"/>
    <w:basedOn w:val="Normal"/>
    <w:next w:val="Normal"/>
    <w:qFormat/>
    <w:pPr>
      <w:spacing w:before="240" w:after="120" w:line="288" w:lineRule="auto"/>
      <w:ind w:left="0"/>
      <w:jc w:val="left"/>
      <w:outlineLvl w:val="4"/>
    </w:pPr>
    <w:rPr>
      <w:b/>
      <w:bCs/>
      <w:sz w:val="24"/>
      <w:szCs w:val="24"/>
      <w:rFonts w:ascii="Arial" w:hAnsi="Arial" w:eastAsia="等线" w:cs="Arial"/>
    </w:rPr>
  </w:style>
  <w:style w:type="paragraph" w:styleId="Heading6">
    <w:name w:val="Heading 6"/>
    <w:basedOn w:val="Normal"/>
    <w:next w:val="Normal"/>
    <w:qFormat/>
    <w:pPr>
      <w:spacing w:before="240" w:after="120" w:line="288" w:lineRule="auto"/>
      <w:ind w:left="0"/>
      <w:jc w:val="left"/>
      <w:outlineLvl w:val="5"/>
    </w:pPr>
    <w:rPr>
      <w:b/>
      <w:bCs/>
      <w:sz w:val="24"/>
      <w:szCs w:val="24"/>
      <w:rFonts w:ascii="Arial" w:hAnsi="Arial" w:eastAsia="等线" w:cs="Arial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paragraph" w:styleId="text">
    <w:pPr>
      <w:spacing w:before="120" w:after="120" w:line="288" w:lineRule="auto"/>
      <w:ind w:left="0"/>
      <w:jc w:val="left"/>
    </w:pPr>
    <w:rPr>
      <w:sz w:val="22"/>
      <w:szCs w:val="22"/>
      <w:rFonts w:ascii="Arial" w:hAnsi="Arial" w:eastAsia="等线" w:cs="Arial"/>
    </w:rPr>
  </w:style>
  <w:style w:type="paragraph" w:styleId="blockquote">
    <w:pPr>
      <w:spacing w:before="120" w:after="120" w:line="288" w:lineRule="auto"/>
      <w:ind w:left="0"/>
      <w:jc w:val="left"/>
    </w:pPr>
    <w:rPr>
      <w:color w:val="8F959E"/>
      <w:sz w:val="22"/>
      <w:szCs w:val="22"/>
      <w:rFonts w:ascii="Arial" w:hAnsi="Arial" w:eastAsia="等线" w:cs="Arial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2025-09-15T02:08:17.264Z</dcterms:created>
  <dcterms:modified xsi:type="dcterms:W3CDTF">2025-09-15T02:08:17.264Z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